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F0" w:rsidRPr="00643AF0" w:rsidRDefault="002F6220">
      <w:pPr>
        <w:jc w:val="both"/>
        <w:rPr>
          <w:rFonts w:ascii="Verdana" w:eastAsia="Verdana" w:hAnsi="Verdana" w:cs="Verdana"/>
          <w:color w:val="548DD4"/>
        </w:rPr>
      </w:pPr>
      <w:r w:rsidRPr="00643AF0">
        <w:rPr>
          <w:rFonts w:ascii="Verdana" w:eastAsia="Verdana" w:hAnsi="Verdana" w:cs="Verdana"/>
          <w:color w:val="548DD4"/>
        </w:rPr>
        <w:t>BLUE MEDIA O PODEJŚCIU POLAKÓW DO FINTECHU</w:t>
      </w:r>
    </w:p>
    <w:p w:rsidR="00A07624" w:rsidRDefault="002F6220">
      <w:pPr>
        <w:jc w:val="both"/>
        <w:rPr>
          <w:rFonts w:ascii="Verdana" w:eastAsia="Verdana" w:hAnsi="Verdana" w:cs="Verdana"/>
          <w:b/>
          <w:sz w:val="28"/>
          <w:szCs w:val="28"/>
        </w:rPr>
      </w:pPr>
      <w:bookmarkStart w:id="0" w:name="_7i1758tyvt1h" w:colFirst="0" w:colLast="0"/>
      <w:bookmarkEnd w:id="0"/>
      <w:r>
        <w:rPr>
          <w:rFonts w:ascii="Verdana" w:eastAsia="Verdana" w:hAnsi="Verdana" w:cs="Verdana"/>
          <w:b/>
          <w:sz w:val="28"/>
          <w:szCs w:val="28"/>
        </w:rPr>
        <w:t>Polacy otwarci na innowacje finansowe</w:t>
      </w:r>
    </w:p>
    <w:p w:rsidR="00A36072" w:rsidRPr="00A36072" w:rsidRDefault="002F6220">
      <w:pPr>
        <w:jc w:val="both"/>
        <w:rPr>
          <w:rFonts w:ascii="Verdana" w:eastAsia="Verdana" w:hAnsi="Verdana" w:cs="Verdana"/>
          <w:b/>
          <w:sz w:val="20"/>
        </w:rPr>
      </w:pPr>
      <w:bookmarkStart w:id="1" w:name="_7keewyby9s6f" w:colFirst="0" w:colLast="0"/>
      <w:bookmarkEnd w:id="1"/>
      <w:r w:rsidRPr="00A36072">
        <w:rPr>
          <w:rFonts w:ascii="Verdana" w:eastAsia="Verdana" w:hAnsi="Verdana" w:cs="Verdana"/>
          <w:b/>
          <w:sz w:val="20"/>
        </w:rPr>
        <w:t>Już co dziesiąty Polak jest gotowy, by skorzystać z usług finansowych oferowanych przez inne niż tradycyjne instytucje finansowe. Co siódmy badany</w:t>
      </w:r>
      <w:r w:rsidRPr="00A36072">
        <w:rPr>
          <w:rFonts w:ascii="Verdana" w:eastAsia="Verdana" w:hAnsi="Verdana" w:cs="Verdana"/>
          <w:b/>
          <w:sz w:val="20"/>
        </w:rPr>
        <w:t xml:space="preserve"> jest gotowy lub nie wykluczałby podania swoich danych logowania do banku w celu uzyskania korzyści - wynika z tegorocznej edycji badania Blue Media “Podejście Polaków do fintechu”.</w:t>
      </w:r>
    </w:p>
    <w:p w:rsidR="00A07624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Usługi płatnicze od Google, Apple czy Samsunga, internetowe serwisy wymian</w:t>
      </w:r>
      <w:r>
        <w:rPr>
          <w:rFonts w:ascii="Verdana" w:eastAsia="Verdana" w:hAnsi="Verdana" w:cs="Verdana"/>
          <w:sz w:val="20"/>
          <w:szCs w:val="20"/>
        </w:rPr>
        <w:t>y walut, aplikacje do zarządzania finansami czy zautomatyzowane narzędzia do inwestowania - branża fintech od kilku lat przeżywa rozkwit.</w:t>
      </w:r>
      <w:r w:rsidR="00A36072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Dzięki zastosowaniu nowoczesnych technologii, firmy fintechowe mogą oferować wygodniej i często taniej usługi do nieda</w:t>
      </w:r>
      <w:r>
        <w:rPr>
          <w:rFonts w:ascii="Verdana" w:eastAsia="Verdana" w:hAnsi="Verdana" w:cs="Verdana"/>
          <w:sz w:val="20"/>
          <w:szCs w:val="20"/>
        </w:rPr>
        <w:t xml:space="preserve">wna zarezerwowane dla banków. </w:t>
      </w:r>
    </w:p>
    <w:p w:rsidR="00A07624" w:rsidRDefault="002F6220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Choć maleje zaufanie - rośnie skłonność do korzystania</w:t>
      </w:r>
    </w:p>
    <w:p w:rsidR="00A07624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</w:t>
      </w:r>
      <w:hyperlink r:id="rId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porównaniu do ubiegłego roku</w:t>
        </w:r>
      </w:hyperlink>
      <w:r>
        <w:rPr>
          <w:rFonts w:ascii="Verdana" w:eastAsia="Verdana" w:hAnsi="Verdana" w:cs="Verdana"/>
          <w:sz w:val="20"/>
          <w:szCs w:val="20"/>
        </w:rPr>
        <w:t xml:space="preserve"> spadł poziom zaufania do większości badanych instytucji - zarówno banków, firm telekomunikacyjnych, firm pożyczkowych, jak i technologicznych koncernów. Wzrósł jednak odsetek osób, które deklarują, że są gotowe skorzystać z usług od niefinansowych instytu</w:t>
      </w:r>
      <w:r>
        <w:rPr>
          <w:rFonts w:ascii="Verdana" w:eastAsia="Verdana" w:hAnsi="Verdana" w:cs="Verdana"/>
          <w:sz w:val="20"/>
          <w:szCs w:val="20"/>
        </w:rPr>
        <w:t>cji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1"/>
      </w:r>
      <w:r>
        <w:rPr>
          <w:rFonts w:ascii="Verdana" w:eastAsia="Verdana" w:hAnsi="Verdana" w:cs="Verdana"/>
          <w:sz w:val="20"/>
          <w:szCs w:val="20"/>
        </w:rPr>
        <w:t xml:space="preserve"> - z 6 do 11 proc. Niespełna połowa badanych nie jest zainteresowana tego typu usługami, a 42 proc. respondentów nie ma zdania na ten temat.</w:t>
      </w:r>
    </w:p>
    <w:p w:rsidR="00A07624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43AF0">
        <w:rPr>
          <w:noProof/>
        </w:rPr>
        <w:drawing>
          <wp:inline distT="0" distB="0" distL="0" distR="0" wp14:anchorId="0FCD1EC7" wp14:editId="4B226F84">
            <wp:extent cx="4819650" cy="303260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623" cy="303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57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Gotowość do korzystania z fintechów zdecydowanie częściej deklarują młodsi respondenci (w wieku 18-44) niż starsi (powyżej 45 r.ż.).</w:t>
      </w:r>
    </w:p>
    <w:p w:rsidR="00A07624" w:rsidRDefault="00CC3657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280735A0" wp14:editId="2E9347C8">
            <wp:extent cx="5029200" cy="264823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6753" cy="265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57" w:rsidRDefault="00CC3657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07624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Świa</w:t>
      </w:r>
      <w:r>
        <w:rPr>
          <w:rFonts w:ascii="Verdana" w:eastAsia="Verdana" w:hAnsi="Verdana" w:cs="Verdana"/>
          <w:sz w:val="20"/>
          <w:szCs w:val="20"/>
        </w:rPr>
        <w:t>domość bezpieczeństwa usług jest warun</w:t>
      </w:r>
      <w:r w:rsidR="00CC3657">
        <w:rPr>
          <w:rFonts w:ascii="Verdana" w:eastAsia="Verdana" w:hAnsi="Verdana" w:cs="Verdana"/>
          <w:sz w:val="20"/>
          <w:szCs w:val="20"/>
        </w:rPr>
        <w:t>kiem koniecznym, aby skorzystać</w:t>
      </w:r>
      <w:r>
        <w:rPr>
          <w:rFonts w:ascii="Verdana" w:eastAsia="Verdana" w:hAnsi="Verdana" w:cs="Verdana"/>
          <w:sz w:val="20"/>
          <w:szCs w:val="20"/>
        </w:rPr>
        <w:t xml:space="preserve"> z usług finansowych dla prawie połowy Polaków. Co czwarty badany zwraca uwagę na cenę, a co piąty na zaufanie do instytucji (co ma nierozerwalny związek z bezpieczeństwem). Zaledwie 8 p</w:t>
      </w:r>
      <w:r>
        <w:rPr>
          <w:rFonts w:ascii="Verdana" w:eastAsia="Verdana" w:hAnsi="Verdana" w:cs="Verdana"/>
          <w:sz w:val="20"/>
          <w:szCs w:val="20"/>
        </w:rPr>
        <w:t>roc. respondentów wskazało na wygodę.</w:t>
      </w:r>
    </w:p>
    <w:p w:rsidR="00A07624" w:rsidRPr="00CC3657" w:rsidRDefault="00CC3657" w:rsidP="00CC3657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- </w:t>
      </w:r>
      <w:r w:rsidR="002F6220">
        <w:rPr>
          <w:rFonts w:ascii="Verdana" w:eastAsia="Verdana" w:hAnsi="Verdana" w:cs="Verdana"/>
          <w:i/>
          <w:sz w:val="20"/>
          <w:szCs w:val="20"/>
        </w:rPr>
        <w:t>Tradycyjna bankowość obawia się konkurencji ze strony bardziej elastycznych firm internetowych, gotowych zaoferować usługi finansowe – płatnicze, pożyczkowe, inwestycyjne – lepiej dostosowane do cyfrowej gospodarki i c</w:t>
      </w:r>
      <w:r w:rsidR="002F6220">
        <w:rPr>
          <w:rFonts w:ascii="Verdana" w:eastAsia="Verdana" w:hAnsi="Verdana" w:cs="Verdana"/>
          <w:i/>
          <w:sz w:val="20"/>
          <w:szCs w:val="20"/>
        </w:rPr>
        <w:t xml:space="preserve">yfrowego stylu życia - </w:t>
      </w:r>
      <w:r w:rsidR="002F6220">
        <w:rPr>
          <w:rFonts w:ascii="Verdana" w:eastAsia="Verdana" w:hAnsi="Verdana" w:cs="Verdana"/>
          <w:sz w:val="20"/>
          <w:szCs w:val="20"/>
        </w:rPr>
        <w:t xml:space="preserve">komentuje Sebastian Ptak, członek zarządu Blue Media. - </w:t>
      </w:r>
      <w:r w:rsidR="002F6220">
        <w:rPr>
          <w:rFonts w:ascii="Verdana" w:eastAsia="Verdana" w:hAnsi="Verdana" w:cs="Verdana"/>
          <w:i/>
          <w:sz w:val="20"/>
          <w:szCs w:val="20"/>
        </w:rPr>
        <w:t xml:space="preserve">Wydaje się jednak wątpliwe, by Polacy wyczekiwali drapieżnej „uberyzacji” finansów. Z uwagi na długoletnią współpracę banków z firmami technologicznymi, </w:t>
      </w:r>
      <w:r w:rsidR="00A36072">
        <w:rPr>
          <w:rFonts w:ascii="Verdana" w:eastAsia="Verdana" w:hAnsi="Verdana" w:cs="Verdana"/>
          <w:i/>
          <w:sz w:val="20"/>
          <w:szCs w:val="20"/>
        </w:rPr>
        <w:t>nie możemy</w:t>
      </w:r>
      <w:r w:rsidR="002F6220">
        <w:rPr>
          <w:rFonts w:ascii="Verdana" w:eastAsia="Verdana" w:hAnsi="Verdana" w:cs="Verdana"/>
          <w:i/>
          <w:sz w:val="20"/>
          <w:szCs w:val="20"/>
        </w:rPr>
        <w:t xml:space="preserve"> narzekać</w:t>
      </w:r>
      <w:r w:rsidR="002F6220">
        <w:rPr>
          <w:rFonts w:ascii="Verdana" w:eastAsia="Verdana" w:hAnsi="Verdana" w:cs="Verdana"/>
          <w:i/>
          <w:sz w:val="20"/>
          <w:szCs w:val="20"/>
        </w:rPr>
        <w:t xml:space="preserve"> na brak innowacyjnych rozwiązań</w:t>
      </w:r>
      <w:r w:rsidR="00A36072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2F6220">
        <w:rPr>
          <w:rFonts w:ascii="Verdana" w:eastAsia="Verdana" w:hAnsi="Verdana" w:cs="Verdana"/>
          <w:i/>
          <w:sz w:val="20"/>
          <w:szCs w:val="20"/>
        </w:rPr>
        <w:t>oferowanych przez banki.</w:t>
      </w:r>
    </w:p>
    <w:p w:rsidR="00CC3657" w:rsidRDefault="00CC3657" w:rsidP="00CC3657">
      <w:pPr>
        <w:ind w:left="720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A07624" w:rsidRDefault="002F6220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Korzyść w zamian za dane osobowe?</w:t>
      </w:r>
    </w:p>
    <w:p w:rsidR="00A07624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Prawie połowa Polaków deklaruje, że nie jest skłonna udostępnić jakichkolwiek danych osobowych, aby otrzymać usługę finansową bardziej dostosowaną do swoich potrzeb</w:t>
      </w:r>
      <w:r>
        <w:rPr>
          <w:rFonts w:ascii="Verdana" w:eastAsia="Verdana" w:hAnsi="Verdana" w:cs="Verdana"/>
          <w:sz w:val="20"/>
          <w:szCs w:val="20"/>
        </w:rPr>
        <w:t>. Niemniej w ubiegłym roku deklarowało tak więcej, bo 54 proc. respondentów, widać więc, że osób z zastrzeżeniami jest coraz mniej. Ci którzy są skłonni to zrobić, podzielą się głównie informacjami dotyczącymi wieku, miejsca zamieszkania, zainteresowań czy</w:t>
      </w:r>
      <w:r>
        <w:rPr>
          <w:rFonts w:ascii="Verdana" w:eastAsia="Verdana" w:hAnsi="Verdana" w:cs="Verdana"/>
          <w:sz w:val="20"/>
          <w:szCs w:val="20"/>
        </w:rPr>
        <w:t xml:space="preserve"> wysokości dochodów. Nie udostępnią za to danych dotyczących logowania do konta bankowego (tylko 2 proc. wskazań) ani informacji o swojej rodzinie (5 proc.). </w:t>
      </w:r>
    </w:p>
    <w:p w:rsidR="00A07624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bardziej sprecyzowane pytanie, czy byliby gotowi udostępnić licencjonowanemu podmiotowi, legal</w:t>
      </w:r>
      <w:r>
        <w:rPr>
          <w:rFonts w:ascii="Verdana" w:eastAsia="Verdana" w:hAnsi="Verdana" w:cs="Verdana"/>
          <w:sz w:val="20"/>
          <w:szCs w:val="20"/>
        </w:rPr>
        <w:t xml:space="preserve">nie działającemu w UE, swoje dane logowania do banku w celu uzyskanie korzyści przy dokonywaniu płatności, </w:t>
      </w:r>
      <w:r>
        <w:rPr>
          <w:rFonts w:ascii="Verdana" w:eastAsia="Verdana" w:hAnsi="Verdana" w:cs="Verdana"/>
          <w:b/>
          <w:sz w:val="20"/>
          <w:szCs w:val="20"/>
        </w:rPr>
        <w:t>swoją zgodę wyraziło już 14 proc. badanych.</w:t>
      </w:r>
      <w:r>
        <w:rPr>
          <w:rFonts w:ascii="Verdana" w:eastAsia="Verdana" w:hAnsi="Verdana" w:cs="Verdana"/>
          <w:sz w:val="20"/>
          <w:szCs w:val="20"/>
        </w:rPr>
        <w:t xml:space="preserve"> Wyraźnie chętniej mężczyźni i młodsi respondenci. </w:t>
      </w:r>
    </w:p>
    <w:p w:rsidR="00A07624" w:rsidRDefault="00CC3657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063ED18E" wp14:editId="059B70E0">
            <wp:extent cx="5759450" cy="2922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57" w:rsidRDefault="00CC3657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07624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przyszłym roku w całej Unii Europejskiej będzie obowią</w:t>
      </w:r>
      <w:r w:rsidR="00643AF0">
        <w:rPr>
          <w:rFonts w:ascii="Verdana" w:eastAsia="Verdana" w:hAnsi="Verdana" w:cs="Verdana"/>
          <w:sz w:val="20"/>
          <w:szCs w:val="20"/>
        </w:rPr>
        <w:t>zywać dyrektywa PSD2</w:t>
      </w:r>
      <w:r>
        <w:rPr>
          <w:rFonts w:ascii="Verdana" w:eastAsia="Verdana" w:hAnsi="Verdana" w:cs="Verdana"/>
          <w:sz w:val="20"/>
          <w:szCs w:val="20"/>
        </w:rPr>
        <w:t xml:space="preserve"> dopuszczające niedostępne dotąd formy płatności. Obok banków, instytucji płatniczych, operatorów płatności, pojawią się instytucje określane jako </w:t>
      </w:r>
      <w:hyperlink r:id="rId11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TPP (Third Party Providers)</w:t>
        </w:r>
      </w:hyperlink>
      <w:r>
        <w:rPr>
          <w:rFonts w:ascii="Verdana" w:eastAsia="Verdana" w:hAnsi="Verdana" w:cs="Verdana"/>
          <w:sz w:val="20"/>
          <w:szCs w:val="20"/>
        </w:rPr>
        <w:t>, czyli podmioty, które po otrzymaniu danych do logowania w bankowości internetowej klienta, będą mogły inicjować w jego imieniu płatność w określonej kwocie do określonego odbiorcy.</w:t>
      </w:r>
    </w:p>
    <w:p w:rsidR="00A07624" w:rsidRDefault="00CC3657" w:rsidP="00CC3657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- </w:t>
      </w:r>
      <w:r w:rsidR="002F6220">
        <w:rPr>
          <w:rFonts w:ascii="Verdana" w:eastAsia="Verdana" w:hAnsi="Verdana" w:cs="Verdana"/>
          <w:i/>
          <w:sz w:val="20"/>
          <w:szCs w:val="20"/>
        </w:rPr>
        <w:t>Banki oraz firmy technologiczne wykonały w</w:t>
      </w:r>
      <w:r w:rsidR="002F6220">
        <w:rPr>
          <w:rFonts w:ascii="Verdana" w:eastAsia="Verdana" w:hAnsi="Verdana" w:cs="Verdana"/>
          <w:i/>
          <w:sz w:val="20"/>
          <w:szCs w:val="20"/>
        </w:rPr>
        <w:t xml:space="preserve"> ostatnich latach dużo pracy, by edukować klientów, jak bezpiecznie korzystać z usług finansowych. Z jednej strony nasze dane są dla nas świętością. Z drugiej strony, pod pewnymi warunkami jesteśmy gotowi je udostępniać. Aspekty regulacyjne - przepisy praw</w:t>
      </w:r>
      <w:r w:rsidR="002F6220">
        <w:rPr>
          <w:rFonts w:ascii="Verdana" w:eastAsia="Verdana" w:hAnsi="Verdana" w:cs="Verdana"/>
          <w:i/>
          <w:sz w:val="20"/>
          <w:szCs w:val="20"/>
        </w:rPr>
        <w:t>ne, unijne dyrektywy - są w stanie przynajmniej częściowo znieść nasze obawy dotyczące bezpieczeństwa</w:t>
      </w:r>
      <w:r w:rsidR="002F6220">
        <w:rPr>
          <w:rFonts w:ascii="Verdana" w:eastAsia="Verdana" w:hAnsi="Verdana" w:cs="Verdana"/>
          <w:sz w:val="20"/>
          <w:szCs w:val="20"/>
        </w:rPr>
        <w:t xml:space="preserve"> - zauważa Sebastian Ptak.</w:t>
      </w:r>
    </w:p>
    <w:p w:rsidR="00CC3657" w:rsidRDefault="00CC3657" w:rsidP="00CC3657">
      <w:pPr>
        <w:ind w:left="720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A07624" w:rsidRDefault="002F6220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Wygoda w zamian za dane kartowe?</w:t>
      </w:r>
    </w:p>
    <w:p w:rsidR="00A07624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Coraz więcej sklepów internetowych oferuje przechowywanie numeru karty płatniczej, dzięki czemu</w:t>
      </w:r>
      <w:r>
        <w:rPr>
          <w:rFonts w:ascii="Verdana" w:eastAsia="Verdana" w:hAnsi="Verdana" w:cs="Verdana"/>
          <w:sz w:val="20"/>
          <w:szCs w:val="20"/>
        </w:rPr>
        <w:t xml:space="preserve"> płatność trwa mniej niż sekundę i w zasadzie polega na wskazaniu rachunku, z którego mają zostać pobrane pieniądze. Do rejestracji karty płatniczej w sklepie internetowym, aby móc łatwiej i szybciej - tzw. jednym kliknięciem - płacić za zakupy podchodzimy</w:t>
      </w:r>
      <w:r>
        <w:rPr>
          <w:rFonts w:ascii="Verdana" w:eastAsia="Verdana" w:hAnsi="Verdana" w:cs="Verdana"/>
          <w:sz w:val="20"/>
          <w:szCs w:val="20"/>
        </w:rPr>
        <w:t xml:space="preserve"> z rezerwą. </w:t>
      </w:r>
      <w:r>
        <w:rPr>
          <w:rFonts w:ascii="Verdana" w:eastAsia="Verdana" w:hAnsi="Verdana" w:cs="Verdana"/>
          <w:b/>
          <w:sz w:val="20"/>
          <w:szCs w:val="20"/>
        </w:rPr>
        <w:t>Zgodę na to wyraziłoby 16 proc. badanych</w:t>
      </w:r>
      <w:r>
        <w:rPr>
          <w:rFonts w:ascii="Verdana" w:eastAsia="Verdana" w:hAnsi="Verdana" w:cs="Verdana"/>
          <w:sz w:val="20"/>
          <w:szCs w:val="20"/>
        </w:rPr>
        <w:t>. Podobnie jak w przypadku udostępniania danych do logowania, większą skłonność do akceptacji takiego rozwiązania wykazują mężczyźni, a także osoby młodsze.</w:t>
      </w:r>
    </w:p>
    <w:p w:rsidR="00A07624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40 proc. osób odrzucających rejestrację swojej </w:t>
      </w:r>
      <w:r>
        <w:rPr>
          <w:rFonts w:ascii="Verdana" w:eastAsia="Verdana" w:hAnsi="Verdana" w:cs="Verdana"/>
          <w:sz w:val="20"/>
          <w:szCs w:val="20"/>
        </w:rPr>
        <w:t xml:space="preserve">karty płatniczej w sklepie internetowym twierdzi, że nic nie jest w stanie ich przekonać do zmiany decyzji. Pozostali </w:t>
      </w:r>
      <w:r>
        <w:rPr>
          <w:rFonts w:ascii="Verdana" w:eastAsia="Verdana" w:hAnsi="Verdana" w:cs="Verdana"/>
          <w:color w:val="38761D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ako argument za takim rozwiązaniem wskazują przede wszystkim na zaufanie do konkretnego sklepu (16 proc.), zabezpieczenie w postaci potwi</w:t>
      </w:r>
      <w:r>
        <w:rPr>
          <w:rFonts w:ascii="Verdana" w:eastAsia="Verdana" w:hAnsi="Verdana" w:cs="Verdana"/>
          <w:sz w:val="20"/>
          <w:szCs w:val="20"/>
        </w:rPr>
        <w:t>erdzeń każdej transakcji sms-em czy też gwarancję szybkiego zwrotu środków w przypadku reklamacji. Wpływ mogłyby mieć również specjalne oferty cenowe w sklepie (11 proc.).</w:t>
      </w:r>
    </w:p>
    <w:p w:rsidR="00A36072" w:rsidRDefault="00A36072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07624" w:rsidRDefault="00CC3657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5194A74E" wp14:editId="4C470521">
            <wp:extent cx="5759450" cy="30765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624" w:rsidRDefault="00A0762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07624" w:rsidRPr="00A36072" w:rsidRDefault="00CC3657" w:rsidP="00CC3657">
      <w:pPr>
        <w:contextualSpacing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- </w:t>
      </w:r>
      <w:r w:rsidR="002F6220">
        <w:rPr>
          <w:rFonts w:ascii="Verdana" w:eastAsia="Verdana" w:hAnsi="Verdana" w:cs="Verdana"/>
          <w:i/>
          <w:sz w:val="20"/>
          <w:szCs w:val="20"/>
        </w:rPr>
        <w:t xml:space="preserve">O ile jako społeczeństwo wykazujemy dość wysoką podatność na innowacje, to często nie wiemy nawet do czego nam są potrzebne te innowacje. Mamy rozdźwięk między poczuciem bezpieczeństwa a korzyściami, jakie możemy zyskać </w:t>
      </w:r>
      <w:r w:rsidR="002F6220">
        <w:rPr>
          <w:rFonts w:ascii="Verdana" w:eastAsia="Verdana" w:hAnsi="Verdana" w:cs="Verdana"/>
          <w:sz w:val="20"/>
          <w:szCs w:val="20"/>
        </w:rPr>
        <w:t>- podsumowuje Sebastian Ptak.</w:t>
      </w:r>
      <w:r w:rsidR="002F6220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2F6220">
        <w:rPr>
          <w:rFonts w:ascii="Verdana" w:eastAsia="Verdana" w:hAnsi="Verdana" w:cs="Verdana"/>
          <w:i/>
          <w:sz w:val="20"/>
          <w:szCs w:val="20"/>
        </w:rPr>
        <w:t>- Jest</w:t>
      </w:r>
      <w:r w:rsidR="002F6220">
        <w:rPr>
          <w:rFonts w:ascii="Verdana" w:eastAsia="Verdana" w:hAnsi="Verdana" w:cs="Verdana"/>
          <w:i/>
          <w:sz w:val="20"/>
          <w:szCs w:val="20"/>
        </w:rPr>
        <w:t>em przekonany co do jednego trendu w usługach finansowych - że proces płacenia zniknie. Ludzie chcą kupować, ale nie chcą – a wręcz nienawidzą – płacić. Płacenie nie jest naturalną czynnością dla człowieka, w przeciwieństwie do gromadzenia dóbr. Spójrzmy n</w:t>
      </w:r>
      <w:r w:rsidR="002F6220">
        <w:rPr>
          <w:rFonts w:ascii="Verdana" w:eastAsia="Verdana" w:hAnsi="Verdana" w:cs="Verdana"/>
          <w:i/>
          <w:sz w:val="20"/>
          <w:szCs w:val="20"/>
        </w:rPr>
        <w:t>a historię płatności. To nic innego, jak historia stopniowego pozbywania się w procesie płacenia fizycznej reprezentacji wartości nabywanego lub zbywanego dobra lub usługi – od wymiany barterowej, przez reprezentację wartości w kruszcu, gotówkę, kartę płat</w:t>
      </w:r>
      <w:r w:rsidR="002F6220">
        <w:rPr>
          <w:rFonts w:ascii="Verdana" w:eastAsia="Verdana" w:hAnsi="Verdana" w:cs="Verdana"/>
          <w:i/>
          <w:sz w:val="20"/>
          <w:szCs w:val="20"/>
        </w:rPr>
        <w:t>niczą, smartfon aż do technologii pozwalających płacić bez jakiegokolwiek fizycznego nośnika</w:t>
      </w:r>
      <w:r w:rsidR="002F6220">
        <w:rPr>
          <w:rFonts w:ascii="Verdana" w:eastAsia="Verdana" w:hAnsi="Verdana" w:cs="Verdana"/>
          <w:sz w:val="20"/>
          <w:szCs w:val="20"/>
        </w:rPr>
        <w:t xml:space="preserve"> - komentuje członek zarządu Blue Media.</w:t>
      </w:r>
    </w:p>
    <w:p w:rsidR="00A07624" w:rsidRDefault="00A0762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07624" w:rsidRDefault="00A07624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A07624">
        <w:tc>
          <w:tcPr>
            <w:tcW w:w="9210" w:type="dxa"/>
          </w:tcPr>
          <w:p w:rsidR="00A07624" w:rsidRPr="00A36072" w:rsidRDefault="002F6220">
            <w:pPr>
              <w:spacing w:after="200" w:line="276" w:lineRule="auto"/>
              <w:jc w:val="both"/>
              <w:rPr>
                <w:rFonts w:ascii="Verdana" w:eastAsia="Verdana" w:hAnsi="Verdana" w:cs="Verdana"/>
                <w:b/>
                <w:sz w:val="18"/>
                <w:szCs w:val="20"/>
              </w:rPr>
            </w:pPr>
            <w:r w:rsidRPr="00A36072">
              <w:rPr>
                <w:rFonts w:ascii="Verdana" w:eastAsia="Verdana" w:hAnsi="Verdana" w:cs="Verdana"/>
                <w:b/>
                <w:sz w:val="18"/>
                <w:szCs w:val="20"/>
              </w:rPr>
              <w:t>Metodologia badania Satisface dla Blue Media:</w:t>
            </w:r>
          </w:p>
          <w:p w:rsidR="00A07624" w:rsidRDefault="002F6220">
            <w:pPr>
              <w:spacing w:after="20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A36072">
              <w:rPr>
                <w:rFonts w:ascii="Verdana" w:eastAsia="Verdana" w:hAnsi="Verdana" w:cs="Verdana"/>
                <w:sz w:val="18"/>
                <w:szCs w:val="20"/>
              </w:rPr>
              <w:t>badanie internetowe CAWI, zrealizowano łącznie 1082 wywiady w czerwcu</w:t>
            </w:r>
            <w:bookmarkStart w:id="2" w:name="_GoBack"/>
            <w:bookmarkEnd w:id="2"/>
            <w:r w:rsidRPr="00A36072">
              <w:rPr>
                <w:rFonts w:ascii="Verdana" w:eastAsia="Verdana" w:hAnsi="Verdana" w:cs="Verdana"/>
                <w:sz w:val="18"/>
                <w:szCs w:val="20"/>
              </w:rPr>
              <w:t xml:space="preserve"> 2017 </w:t>
            </w:r>
            <w:r w:rsidRPr="00A36072">
              <w:rPr>
                <w:rFonts w:ascii="Verdana" w:eastAsia="Verdana" w:hAnsi="Verdana" w:cs="Verdana"/>
                <w:sz w:val="18"/>
                <w:szCs w:val="20"/>
              </w:rPr>
              <w:t>r.  na reprezentatywnej próbie ogólnopolskiej.</w:t>
            </w:r>
            <w:r w:rsidRPr="00A36072">
              <w:rPr>
                <w:sz w:val="20"/>
              </w:rPr>
              <w:t xml:space="preserve"> </w:t>
            </w:r>
            <w:r w:rsidRPr="00A36072">
              <w:rPr>
                <w:rFonts w:ascii="Verdana" w:eastAsia="Verdana" w:hAnsi="Verdana" w:cs="Verdana"/>
                <w:sz w:val="18"/>
                <w:szCs w:val="20"/>
              </w:rPr>
              <w:t>W raporcie użyto porównań do badania ubiegłorocznego - należy mieć na uwadze, że w 2016 r. badanie realizowano metodą wywiadów telefonicznych.</w:t>
            </w:r>
          </w:p>
        </w:tc>
      </w:tr>
    </w:tbl>
    <w:p w:rsidR="00A07624" w:rsidRDefault="00A0762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36072" w:rsidRDefault="00A36072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36072" w:rsidRDefault="00A36072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07624" w:rsidRDefault="002F6220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 Blue Media</w:t>
      </w:r>
    </w:p>
    <w:p w:rsidR="00A07624" w:rsidRDefault="002F622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Firma Blue Media jest dostawcą rozwiązań do obsługi transakcji elektronicznych i wsparcia sprzedaży online – od automatyzacji domowych płatności po kompleksowe, szyte na miarę systemy dla bankowości elektronicznej, rozwiązania dla wystawców faktur oraz e-h</w:t>
      </w:r>
      <w:r>
        <w:rPr>
          <w:rFonts w:ascii="Verdana" w:eastAsia="Verdana" w:hAnsi="Verdana" w:cs="Verdana"/>
          <w:sz w:val="18"/>
          <w:szCs w:val="18"/>
        </w:rPr>
        <w:t>andlu. Blue Media jest właścicielem i operatorem platformy pożyczek społecznościowych Kokos.pl oraz serwisu finansów osobistych bm.pl.</w:t>
      </w:r>
    </w:p>
    <w:p w:rsidR="00A07624" w:rsidRDefault="002F622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Blue Media w oparciu o zgodę NBP prowadzi działalność rozliczeniową i rozrachunkową. Firma jest licencjonowaną przez KNF </w:t>
      </w:r>
      <w:r>
        <w:rPr>
          <w:rFonts w:ascii="Verdana" w:eastAsia="Verdana" w:hAnsi="Verdana" w:cs="Verdana"/>
          <w:sz w:val="18"/>
          <w:szCs w:val="18"/>
        </w:rPr>
        <w:t xml:space="preserve">krajową instytucją płatniczą oraz członkiem Forum Technologii Bankowych przy Związku Banków Polskich. </w:t>
      </w:r>
    </w:p>
    <w:p w:rsidR="00A07624" w:rsidRDefault="002F6220">
      <w:pPr>
        <w:jc w:val="both"/>
        <w:rPr>
          <w:rFonts w:ascii="Verdana" w:eastAsia="Verdana" w:hAnsi="Verdana" w:cs="Verdana"/>
          <w:sz w:val="20"/>
          <w:szCs w:val="20"/>
        </w:rPr>
      </w:pPr>
      <w:hyperlink r:id="rId13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www.bluemedia.pl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A07624" w:rsidRDefault="00A0762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07624" w:rsidRDefault="002F6220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Kontakt dla mediów</w:t>
      </w:r>
    </w:p>
    <w:p w:rsidR="00A07624" w:rsidRDefault="002F622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Zuzanna Szybisty</w:t>
      </w:r>
    </w:p>
    <w:p w:rsidR="00A07624" w:rsidRDefault="002F622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Profeina</w:t>
      </w:r>
    </w:p>
    <w:p w:rsidR="00A07624" w:rsidRDefault="002F622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Kom. +48 663 728 472</w:t>
      </w:r>
    </w:p>
    <w:p w:rsidR="00A07624" w:rsidRDefault="002F622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hyperlink r:id="rId14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zuza@profeina.pl</w:t>
        </w:r>
      </w:hyperlink>
    </w:p>
    <w:p w:rsidR="00A07624" w:rsidRDefault="00A0762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07624" w:rsidRDefault="00A0762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07624" w:rsidRDefault="00A07624">
      <w:pPr>
        <w:tabs>
          <w:tab w:val="left" w:pos="8450"/>
        </w:tabs>
        <w:jc w:val="both"/>
        <w:rPr>
          <w:rFonts w:ascii="Verdana" w:eastAsia="Verdana" w:hAnsi="Verdana" w:cs="Verdana"/>
          <w:sz w:val="18"/>
          <w:szCs w:val="18"/>
        </w:rPr>
      </w:pPr>
    </w:p>
    <w:sectPr w:rsidR="00A07624">
      <w:headerReference w:type="default" r:id="rId15"/>
      <w:footerReference w:type="even" r:id="rId16"/>
      <w:footerReference w:type="default" r:id="rId17"/>
      <w:pgSz w:w="11906" w:h="16838"/>
      <w:pgMar w:top="1701" w:right="1418" w:bottom="147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20" w:rsidRDefault="002F6220">
      <w:pPr>
        <w:spacing w:after="0" w:line="240" w:lineRule="auto"/>
      </w:pPr>
      <w:r>
        <w:separator/>
      </w:r>
    </w:p>
  </w:endnote>
  <w:endnote w:type="continuationSeparator" w:id="0">
    <w:p w:rsidR="002F6220" w:rsidRDefault="002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24" w:rsidRDefault="002F6220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A07624" w:rsidRDefault="00A07624">
    <w:pPr>
      <w:tabs>
        <w:tab w:val="center" w:pos="4536"/>
        <w:tab w:val="right" w:pos="9072"/>
      </w:tabs>
      <w:spacing w:after="709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24" w:rsidRDefault="002F6220">
    <w:pP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color w:val="808080"/>
        <w:sz w:val="16"/>
        <w:szCs w:val="16"/>
      </w:rPr>
    </w:pPr>
    <w:r>
      <w:rPr>
        <w:rFonts w:ascii="Verdana" w:eastAsia="Verdana" w:hAnsi="Verdana" w:cs="Verdana"/>
        <w:color w:val="808080"/>
        <w:sz w:val="16"/>
        <w:szCs w:val="16"/>
      </w:rPr>
      <w:t xml:space="preserve">Strona </w:t>
    </w:r>
    <w:r>
      <w:rPr>
        <w:rFonts w:ascii="Verdana" w:eastAsia="Verdana" w:hAnsi="Verdana" w:cs="Verdana"/>
        <w:color w:val="808080"/>
        <w:sz w:val="16"/>
        <w:szCs w:val="16"/>
      </w:rPr>
      <w:fldChar w:fldCharType="begin"/>
    </w:r>
    <w:r>
      <w:rPr>
        <w:rFonts w:ascii="Verdana" w:eastAsia="Verdana" w:hAnsi="Verdana" w:cs="Verdana"/>
        <w:color w:val="808080"/>
        <w:sz w:val="16"/>
        <w:szCs w:val="16"/>
      </w:rPr>
      <w:instrText>PAGE</w:instrText>
    </w:r>
    <w:r w:rsidR="006F13AD">
      <w:rPr>
        <w:rFonts w:ascii="Verdana" w:eastAsia="Verdana" w:hAnsi="Verdana" w:cs="Verdana"/>
        <w:color w:val="80808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808080"/>
        <w:sz w:val="16"/>
        <w:szCs w:val="16"/>
      </w:rPr>
      <w:t>1</w:t>
    </w:r>
    <w:r>
      <w:rPr>
        <w:rFonts w:ascii="Verdana" w:eastAsia="Verdana" w:hAnsi="Verdana" w:cs="Verdana"/>
        <w:color w:val="808080"/>
        <w:sz w:val="16"/>
        <w:szCs w:val="16"/>
      </w:rPr>
      <w:fldChar w:fldCharType="end"/>
    </w:r>
    <w:r>
      <w:rPr>
        <w:rFonts w:ascii="Verdana" w:eastAsia="Verdana" w:hAnsi="Verdana" w:cs="Verdana"/>
        <w:color w:val="808080"/>
        <w:sz w:val="16"/>
        <w:szCs w:val="16"/>
      </w:rPr>
      <w:t xml:space="preserve"> z </w:t>
    </w:r>
    <w:r>
      <w:rPr>
        <w:rFonts w:ascii="Verdana" w:eastAsia="Verdana" w:hAnsi="Verdana" w:cs="Verdana"/>
        <w:color w:val="808080"/>
        <w:sz w:val="16"/>
        <w:szCs w:val="16"/>
      </w:rPr>
      <w:fldChar w:fldCharType="begin"/>
    </w:r>
    <w:r>
      <w:rPr>
        <w:rFonts w:ascii="Verdana" w:eastAsia="Verdana" w:hAnsi="Verdana" w:cs="Verdana"/>
        <w:color w:val="808080"/>
        <w:sz w:val="16"/>
        <w:szCs w:val="16"/>
      </w:rPr>
      <w:instrText>NUMPAGES</w:instrText>
    </w:r>
    <w:r w:rsidR="006F13AD">
      <w:rPr>
        <w:rFonts w:ascii="Verdana" w:eastAsia="Verdana" w:hAnsi="Verdana" w:cs="Verdana"/>
        <w:color w:val="80808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808080"/>
        <w:sz w:val="16"/>
        <w:szCs w:val="16"/>
      </w:rPr>
      <w:t>1</w:t>
    </w:r>
    <w:r>
      <w:rPr>
        <w:rFonts w:ascii="Verdana" w:eastAsia="Verdana" w:hAnsi="Verdana" w:cs="Verdana"/>
        <w:color w:val="808080"/>
        <w:sz w:val="16"/>
        <w:szCs w:val="16"/>
      </w:rPr>
      <w:fldChar w:fldCharType="end"/>
    </w:r>
  </w:p>
  <w:p w:rsidR="00A07624" w:rsidRDefault="00A07624">
    <w:pPr>
      <w:tabs>
        <w:tab w:val="left" w:pos="3149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20" w:rsidRDefault="002F6220">
      <w:pPr>
        <w:spacing w:after="0" w:line="240" w:lineRule="auto"/>
      </w:pPr>
      <w:r>
        <w:separator/>
      </w:r>
    </w:p>
  </w:footnote>
  <w:footnote w:type="continuationSeparator" w:id="0">
    <w:p w:rsidR="002F6220" w:rsidRDefault="002F6220">
      <w:pPr>
        <w:spacing w:after="0" w:line="240" w:lineRule="auto"/>
      </w:pPr>
      <w:r>
        <w:continuationSeparator/>
      </w:r>
    </w:p>
  </w:footnote>
  <w:footnote w:id="1">
    <w:p w:rsidR="00A07624" w:rsidRDefault="002F622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Należy jednak zauważyć, że wpływ na to miała niewątpliwie zmiana metodologii - z wywiadów telefonicznych na internetowe - która została przeprowadzona po to, aby pozwolić respondentom lepiej przemyśleć udzielane odpowiedzi i urealnić wskaźniki.</w:t>
      </w:r>
      <w:r>
        <w:rPr>
          <w:sz w:val="20"/>
          <w:szCs w:val="20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24" w:rsidRDefault="002F6220">
    <w:pPr>
      <w:tabs>
        <w:tab w:val="center" w:pos="4536"/>
        <w:tab w:val="right" w:pos="9072"/>
      </w:tabs>
      <w:spacing w:before="54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0" b="0"/>
          <wp:wrapNone/>
          <wp:docPr id="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7624" w:rsidRDefault="002F6220">
    <w:pPr>
      <w:tabs>
        <w:tab w:val="left" w:pos="1920"/>
      </w:tabs>
      <w:spacing w:after="0" w:line="240" w:lineRule="auto"/>
    </w:pPr>
    <w:r>
      <w:tab/>
    </w:r>
  </w:p>
  <w:p w:rsidR="00A07624" w:rsidRPr="00A36072" w:rsidRDefault="002F6220">
    <w:pPr>
      <w:jc w:val="right"/>
      <w:rPr>
        <w:rFonts w:ascii="Verdana" w:eastAsia="Verdana" w:hAnsi="Verdana" w:cs="Verdana"/>
      </w:rPr>
    </w:pPr>
    <w:r w:rsidRPr="00A36072">
      <w:rPr>
        <w:rFonts w:ascii="Verdana" w:eastAsia="Verdana" w:hAnsi="Verdana" w:cs="Verdana"/>
      </w:rPr>
      <w:t>INFORMACJA PRASOWA</w:t>
    </w:r>
  </w:p>
  <w:p w:rsidR="00A07624" w:rsidRDefault="00A07624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9FA"/>
    <w:multiLevelType w:val="multilevel"/>
    <w:tmpl w:val="1B3AE3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1E732F"/>
    <w:multiLevelType w:val="multilevel"/>
    <w:tmpl w:val="3A6CD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C41E9"/>
    <w:multiLevelType w:val="multilevel"/>
    <w:tmpl w:val="8B4A2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24"/>
    <w:rsid w:val="002F6220"/>
    <w:rsid w:val="00643AF0"/>
    <w:rsid w:val="006F13AD"/>
    <w:rsid w:val="00A07624"/>
    <w:rsid w:val="00A36072"/>
    <w:rsid w:val="00C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7233"/>
  <w15:docId w15:val="{E766BFF5-659B-4D45-A496-B89313A1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072"/>
  </w:style>
  <w:style w:type="paragraph" w:styleId="Stopka">
    <w:name w:val="footer"/>
    <w:basedOn w:val="Normalny"/>
    <w:link w:val="StopkaZnak"/>
    <w:uiPriority w:val="99"/>
    <w:unhideWhenUsed/>
    <w:rsid w:val="00A3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luemedi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uemedia.pl/pressroom/raporty/podejscie-polakow-do-fintech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uemedia.pl/pressroom/blog-fintech/wszystko-co-chcialabys-wiedziec-o-psd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zuza@profe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 Szybisty</dc:creator>
  <cp:lastModifiedBy>Zuza Szybisty</cp:lastModifiedBy>
  <cp:revision>4</cp:revision>
  <dcterms:created xsi:type="dcterms:W3CDTF">2017-09-21T11:38:00Z</dcterms:created>
  <dcterms:modified xsi:type="dcterms:W3CDTF">2017-09-21T11:56:00Z</dcterms:modified>
</cp:coreProperties>
</file>